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7D1FF" w14:textId="77777777" w:rsidR="006478A2" w:rsidRPr="00EC7007" w:rsidRDefault="006478A2" w:rsidP="006478A2">
      <w:pPr>
        <w:pStyle w:val="p1"/>
        <w:rPr>
          <w:rFonts w:cs="Times New Roman"/>
          <w:color w:val="000000" w:themeColor="text1"/>
          <w:sz w:val="24"/>
          <w:szCs w:val="24"/>
        </w:rPr>
      </w:pPr>
      <w:r w:rsidRPr="00EC7007">
        <w:rPr>
          <w:rFonts w:cs="Times New Roman"/>
          <w:b/>
          <w:bCs/>
          <w:color w:val="000000" w:themeColor="text1"/>
          <w:sz w:val="28"/>
          <w:szCs w:val="28"/>
        </w:rPr>
        <w:t>SSDs in the data center</w:t>
      </w:r>
      <w:r w:rsidRPr="00EC7007">
        <w:rPr>
          <w:rFonts w:cs="Times New Roman"/>
          <w:b/>
          <w:bCs/>
          <w:color w:val="000000" w:themeColor="text1"/>
        </w:rPr>
        <w:t xml:space="preserve">: </w:t>
      </w:r>
      <w:r w:rsidRPr="00EC7007">
        <w:rPr>
          <w:rFonts w:cs="Times New Roman"/>
          <w:b/>
          <w:bCs/>
          <w:color w:val="000000" w:themeColor="text1"/>
          <w:sz w:val="24"/>
          <w:szCs w:val="24"/>
        </w:rPr>
        <w:t>The TCO (Total Cost of Ownership) advantage!</w:t>
      </w:r>
    </w:p>
    <w:p w14:paraId="507008DD" w14:textId="77777777" w:rsidR="006478A2" w:rsidRPr="00EC7007" w:rsidRDefault="006478A2" w:rsidP="006478A2">
      <w:pPr>
        <w:pStyle w:val="p1"/>
        <w:jc w:val="both"/>
        <w:rPr>
          <w:rFonts w:cs="Times New Roman"/>
          <w:color w:val="000000" w:themeColor="text1"/>
          <w:sz w:val="22"/>
          <w:szCs w:val="22"/>
        </w:rPr>
      </w:pPr>
      <w:r w:rsidRPr="00EC7007">
        <w:rPr>
          <w:rFonts w:cs="Times New Roman"/>
          <w:color w:val="000000" w:themeColor="text1"/>
          <w:sz w:val="22"/>
          <w:szCs w:val="22"/>
        </w:rPr>
        <w:t xml:space="preserve">Cost per gigabyte is not the whole story, so understanding TCO over the life of your Data Center investment is crucial to your bottom line. While cost per gigabyte can a be useful metric, it is not accurate when used alone because SSD (Solid State Drives) offer numerous advantages over HDD (Hard Disk Drives) that are not measured by cost per gigabyte. It is the </w:t>
      </w:r>
      <w:proofErr w:type="spellStart"/>
      <w:r w:rsidRPr="00EC7007">
        <w:rPr>
          <w:rFonts w:cs="Times New Roman"/>
          <w:color w:val="000000" w:themeColor="text1"/>
          <w:sz w:val="22"/>
          <w:szCs w:val="22"/>
        </w:rPr>
        <w:t>Opex</w:t>
      </w:r>
      <w:proofErr w:type="spellEnd"/>
      <w:r w:rsidRPr="00EC7007">
        <w:rPr>
          <w:rFonts w:cs="Times New Roman"/>
          <w:color w:val="000000" w:themeColor="text1"/>
          <w:sz w:val="22"/>
          <w:szCs w:val="22"/>
        </w:rPr>
        <w:t xml:space="preserve"> portion of storage costs that see the greatest benefit from SSD over HDD use. Typical TCO consists of the following:</w:t>
      </w:r>
    </w:p>
    <w:p w14:paraId="7510EF55" w14:textId="77777777" w:rsidR="006478A2" w:rsidRDefault="006478A2" w:rsidP="006478A2">
      <w:pPr>
        <w:pStyle w:val="p1"/>
        <w:rPr>
          <w:rFonts w:cs="Times New Roman"/>
        </w:rPr>
      </w:pPr>
      <w:r>
        <w:rPr>
          <w:rFonts w:cs="Times New Roman"/>
          <w:noProof/>
        </w:rPr>
        <w:drawing>
          <wp:inline distT="0" distB="0" distL="0" distR="0" wp14:anchorId="7B599FEE" wp14:editId="3859590F">
            <wp:extent cx="4826000" cy="1972945"/>
            <wp:effectExtent l="0" t="0" r="0" b="8255"/>
            <wp:docPr id="1" name="Picture 1" descr="creen-shot-2016-10-05-at-11-32-0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shot-2016-10-05-at-11-32-00-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6000" cy="1972945"/>
                    </a:xfrm>
                    <a:prstGeom prst="rect">
                      <a:avLst/>
                    </a:prstGeom>
                    <a:noFill/>
                    <a:ln>
                      <a:noFill/>
                    </a:ln>
                  </pic:spPr>
                </pic:pic>
              </a:graphicData>
            </a:graphic>
          </wp:inline>
        </w:drawing>
      </w:r>
    </w:p>
    <w:p w14:paraId="25BA830C" w14:textId="77777777" w:rsidR="006478A2" w:rsidRPr="00EC7007" w:rsidRDefault="006478A2" w:rsidP="006478A2">
      <w:pPr>
        <w:pStyle w:val="p1"/>
        <w:jc w:val="both"/>
        <w:rPr>
          <w:rFonts w:cs="Times New Roman"/>
          <w:color w:val="000000" w:themeColor="text1"/>
          <w:sz w:val="22"/>
          <w:szCs w:val="22"/>
        </w:rPr>
      </w:pPr>
      <w:proofErr w:type="spellStart"/>
      <w:r w:rsidRPr="00EC7007">
        <w:rPr>
          <w:rFonts w:cs="Times New Roman"/>
          <w:b/>
          <w:bCs/>
          <w:color w:val="000000" w:themeColor="text1"/>
          <w:sz w:val="22"/>
          <w:szCs w:val="22"/>
          <w:u w:val="single"/>
        </w:rPr>
        <w:t>Capex</w:t>
      </w:r>
      <w:proofErr w:type="spellEnd"/>
      <w:r w:rsidRPr="00EC7007">
        <w:rPr>
          <w:rFonts w:cs="Times New Roman"/>
          <w:color w:val="000000" w:themeColor="text1"/>
          <w:sz w:val="22"/>
          <w:szCs w:val="22"/>
        </w:rPr>
        <w:t xml:space="preserve">  - While SSD’s command a slightly higher cost per </w:t>
      </w:r>
      <w:proofErr w:type="gramStart"/>
      <w:r w:rsidRPr="00EC7007">
        <w:rPr>
          <w:rFonts w:cs="Times New Roman"/>
          <w:color w:val="000000" w:themeColor="text1"/>
          <w:sz w:val="22"/>
          <w:szCs w:val="22"/>
        </w:rPr>
        <w:t>gigabyte,</w:t>
      </w:r>
      <w:proofErr w:type="gramEnd"/>
      <w:r w:rsidRPr="00EC7007">
        <w:rPr>
          <w:rFonts w:cs="Times New Roman"/>
          <w:color w:val="000000" w:themeColor="text1"/>
          <w:sz w:val="22"/>
          <w:szCs w:val="22"/>
        </w:rPr>
        <w:t xml:space="preserve"> they offer much higher density (Samsung 3D -VNAND is at 32 TB SSDs) and performance (1000X IOPs) and can reduce </w:t>
      </w:r>
      <w:proofErr w:type="spellStart"/>
      <w:r w:rsidRPr="00EC7007">
        <w:rPr>
          <w:rFonts w:cs="Times New Roman"/>
          <w:color w:val="000000" w:themeColor="text1"/>
          <w:sz w:val="22"/>
          <w:szCs w:val="22"/>
        </w:rPr>
        <w:t>Capex</w:t>
      </w:r>
      <w:proofErr w:type="spellEnd"/>
      <w:r w:rsidRPr="00EC7007">
        <w:rPr>
          <w:rFonts w:cs="Times New Roman"/>
          <w:color w:val="000000" w:themeColor="text1"/>
          <w:sz w:val="22"/>
          <w:szCs w:val="22"/>
        </w:rPr>
        <w:t xml:space="preserve"> because the cost of the other equipment is lower. Density and performance per rack is needed to calculate </w:t>
      </w:r>
      <w:proofErr w:type="spellStart"/>
      <w:r w:rsidRPr="00EC7007">
        <w:rPr>
          <w:rFonts w:cs="Times New Roman"/>
          <w:color w:val="000000" w:themeColor="text1"/>
          <w:sz w:val="22"/>
          <w:szCs w:val="22"/>
        </w:rPr>
        <w:t>Capex</w:t>
      </w:r>
      <w:proofErr w:type="spellEnd"/>
      <w:r w:rsidRPr="00EC7007">
        <w:rPr>
          <w:rFonts w:cs="Times New Roman"/>
          <w:color w:val="000000" w:themeColor="text1"/>
          <w:sz w:val="22"/>
          <w:szCs w:val="22"/>
        </w:rPr>
        <w:t xml:space="preserve"> accurately.</w:t>
      </w:r>
    </w:p>
    <w:p w14:paraId="7F421DE0" w14:textId="77777777" w:rsidR="006478A2" w:rsidRPr="00EC7007" w:rsidRDefault="006478A2" w:rsidP="006478A2">
      <w:pPr>
        <w:pStyle w:val="p1"/>
        <w:jc w:val="both"/>
        <w:rPr>
          <w:rFonts w:cs="Times New Roman"/>
          <w:color w:val="000000" w:themeColor="text1"/>
          <w:sz w:val="22"/>
          <w:szCs w:val="22"/>
        </w:rPr>
      </w:pPr>
      <w:proofErr w:type="spellStart"/>
      <w:r w:rsidRPr="00EC7007">
        <w:rPr>
          <w:rFonts w:cs="Times New Roman"/>
          <w:b/>
          <w:bCs/>
          <w:color w:val="000000" w:themeColor="text1"/>
          <w:sz w:val="22"/>
          <w:szCs w:val="22"/>
          <w:u w:val="single"/>
        </w:rPr>
        <w:t>Opex</w:t>
      </w:r>
      <w:proofErr w:type="spellEnd"/>
      <w:r w:rsidRPr="00EC7007">
        <w:rPr>
          <w:rFonts w:cs="Times New Roman"/>
          <w:color w:val="000000" w:themeColor="text1"/>
          <w:sz w:val="22"/>
          <w:szCs w:val="22"/>
        </w:rPr>
        <w:t xml:space="preserve"> - Is more difficult to evaluate due to the costs often being hidden. Electricity, reliability and floor space need to be thoroughly evaluated.</w:t>
      </w:r>
    </w:p>
    <w:p w14:paraId="26811542" w14:textId="77777777" w:rsidR="006478A2" w:rsidRPr="00EC7007" w:rsidRDefault="006478A2" w:rsidP="006478A2">
      <w:pPr>
        <w:pStyle w:val="p1"/>
        <w:jc w:val="both"/>
        <w:rPr>
          <w:rFonts w:cs="Times New Roman"/>
          <w:color w:val="000000" w:themeColor="text1"/>
          <w:sz w:val="22"/>
          <w:szCs w:val="22"/>
        </w:rPr>
      </w:pPr>
      <w:r w:rsidRPr="00EC7007">
        <w:rPr>
          <w:rFonts w:cs="Times New Roman"/>
          <w:b/>
          <w:bCs/>
          <w:color w:val="000000" w:themeColor="text1"/>
          <w:sz w:val="22"/>
          <w:szCs w:val="22"/>
          <w:u w:val="single"/>
        </w:rPr>
        <w:t>Electricity</w:t>
      </w:r>
      <w:r w:rsidRPr="00EC7007">
        <w:rPr>
          <w:rFonts w:cs="Times New Roman"/>
          <w:color w:val="000000" w:themeColor="text1"/>
          <w:sz w:val="22"/>
          <w:szCs w:val="22"/>
        </w:rPr>
        <w:t xml:space="preserve"> - SSDs have a tremendous advantage in power efficiency compared to HDDs.  SSDs often consume less than half the power while delivering 100’s of times higher IOPs (input/output operations per second). This results in orders of magnitude IOPs per </w:t>
      </w:r>
      <w:proofErr w:type="gramStart"/>
      <w:r w:rsidRPr="00EC7007">
        <w:rPr>
          <w:rFonts w:cs="Times New Roman"/>
          <w:color w:val="000000" w:themeColor="text1"/>
          <w:sz w:val="22"/>
          <w:szCs w:val="22"/>
        </w:rPr>
        <w:t>watt,</w:t>
      </w:r>
      <w:proofErr w:type="gramEnd"/>
      <w:r w:rsidRPr="00EC7007">
        <w:rPr>
          <w:rFonts w:cs="Times New Roman"/>
          <w:color w:val="000000" w:themeColor="text1"/>
          <w:sz w:val="22"/>
          <w:szCs w:val="22"/>
        </w:rPr>
        <w:t xml:space="preserve"> SSDs can equalize the difference in HDD costs in a few months due to their power performance superiority.</w:t>
      </w:r>
    </w:p>
    <w:p w14:paraId="41195A9F" w14:textId="77777777" w:rsidR="006478A2" w:rsidRDefault="006478A2" w:rsidP="006478A2">
      <w:pPr>
        <w:pStyle w:val="p1"/>
        <w:rPr>
          <w:rFonts w:cs="Times New Roman"/>
        </w:rPr>
      </w:pPr>
      <w:r>
        <w:rPr>
          <w:rFonts w:cs="Times New Roman"/>
          <w:noProof/>
        </w:rPr>
        <w:drawing>
          <wp:inline distT="0" distB="0" distL="0" distR="0" wp14:anchorId="56BA67FE" wp14:editId="66836C44">
            <wp:extent cx="5498073" cy="1360773"/>
            <wp:effectExtent l="0" t="0" r="0" b="11430"/>
            <wp:docPr id="2" name="Picture 2" descr="creen-shot-2016-10-05-at-9-48-11-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n-shot-2016-10-05-at-9-48-11-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8770" cy="1360946"/>
                    </a:xfrm>
                    <a:prstGeom prst="rect">
                      <a:avLst/>
                    </a:prstGeom>
                    <a:noFill/>
                    <a:ln>
                      <a:noFill/>
                    </a:ln>
                  </pic:spPr>
                </pic:pic>
              </a:graphicData>
            </a:graphic>
          </wp:inline>
        </w:drawing>
      </w:r>
    </w:p>
    <w:p w14:paraId="04B650D8" w14:textId="77777777" w:rsidR="006478A2" w:rsidRPr="00EC7007" w:rsidRDefault="006478A2" w:rsidP="006478A2">
      <w:pPr>
        <w:pStyle w:val="p1"/>
        <w:jc w:val="both"/>
        <w:rPr>
          <w:rFonts w:cs="Times New Roman"/>
          <w:color w:val="000000" w:themeColor="text1"/>
          <w:sz w:val="22"/>
          <w:szCs w:val="22"/>
        </w:rPr>
      </w:pPr>
      <w:r w:rsidRPr="00EC7007">
        <w:rPr>
          <w:rFonts w:cs="Times New Roman"/>
          <w:b/>
          <w:bCs/>
          <w:color w:val="000000" w:themeColor="text1"/>
          <w:sz w:val="22"/>
          <w:szCs w:val="22"/>
          <w:u w:val="single"/>
        </w:rPr>
        <w:t>Reliability</w:t>
      </w:r>
      <w:r w:rsidRPr="00EC7007">
        <w:rPr>
          <w:rFonts w:cs="Times New Roman"/>
          <w:color w:val="000000" w:themeColor="text1"/>
          <w:sz w:val="22"/>
          <w:szCs w:val="22"/>
        </w:rPr>
        <w:t xml:space="preserve"> - The Schroeder-Gibson study shows HDDs have an AFR (Annual Failure Rate) of 3% on average.  A typical </w:t>
      </w:r>
      <w:proofErr w:type="gramStart"/>
      <w:r w:rsidRPr="00EC7007">
        <w:rPr>
          <w:rFonts w:cs="Times New Roman"/>
          <w:color w:val="000000" w:themeColor="text1"/>
          <w:sz w:val="22"/>
          <w:szCs w:val="22"/>
        </w:rPr>
        <w:t>five year</w:t>
      </w:r>
      <w:proofErr w:type="gramEnd"/>
      <w:r w:rsidRPr="00EC7007">
        <w:rPr>
          <w:rFonts w:cs="Times New Roman"/>
          <w:color w:val="000000" w:themeColor="text1"/>
          <w:sz w:val="22"/>
          <w:szCs w:val="22"/>
        </w:rPr>
        <w:t xml:space="preserve"> life span for HDDs usually includes a 15% replacement rate.  SSDs have an AFR of about 0.5%. Even with manufacturers’ warranties, the direct costs of HDD failure include downtime, labor, </w:t>
      </w:r>
      <w:proofErr w:type="gramStart"/>
      <w:r w:rsidRPr="00EC7007">
        <w:rPr>
          <w:rFonts w:cs="Times New Roman"/>
          <w:color w:val="000000" w:themeColor="text1"/>
          <w:sz w:val="22"/>
          <w:szCs w:val="22"/>
        </w:rPr>
        <w:t>data</w:t>
      </w:r>
      <w:proofErr w:type="gramEnd"/>
      <w:r w:rsidRPr="00EC7007">
        <w:rPr>
          <w:rFonts w:cs="Times New Roman"/>
          <w:color w:val="000000" w:themeColor="text1"/>
          <w:sz w:val="22"/>
          <w:szCs w:val="22"/>
        </w:rPr>
        <w:t xml:space="preserve"> loss risk and customer impact. SSDs do not need the extensive redundancy of HDD systems (RAID 5 or 6). Contrasting the mechanical aspects of </w:t>
      </w:r>
      <w:r w:rsidRPr="00EC7007">
        <w:rPr>
          <w:rFonts w:cs="Times New Roman"/>
          <w:color w:val="000000" w:themeColor="text1"/>
          <w:sz w:val="22"/>
          <w:szCs w:val="22"/>
        </w:rPr>
        <w:lastRenderedPageBreak/>
        <w:t xml:space="preserve">HDDs, SSD lifespan is easily and accurately estimated. SSDs have non-moving NAND </w:t>
      </w:r>
      <w:proofErr w:type="gramStart"/>
      <w:r w:rsidRPr="00EC7007">
        <w:rPr>
          <w:rFonts w:cs="Times New Roman"/>
          <w:color w:val="000000" w:themeColor="text1"/>
          <w:sz w:val="22"/>
          <w:szCs w:val="22"/>
        </w:rPr>
        <w:t>chips which</w:t>
      </w:r>
      <w:proofErr w:type="gramEnd"/>
      <w:r w:rsidRPr="00EC7007">
        <w:rPr>
          <w:rFonts w:cs="Times New Roman"/>
          <w:color w:val="000000" w:themeColor="text1"/>
          <w:sz w:val="22"/>
          <w:szCs w:val="22"/>
        </w:rPr>
        <w:t xml:space="preserve"> have been validated to withstand specific</w:t>
      </w:r>
      <w:r w:rsidRPr="00EC7007">
        <w:rPr>
          <w:rFonts w:cs="Times New Roman"/>
          <w:color w:val="00CCFF"/>
          <w:sz w:val="22"/>
          <w:szCs w:val="22"/>
        </w:rPr>
        <w:t xml:space="preserve"> </w:t>
      </w:r>
      <w:r w:rsidRPr="00EC7007">
        <w:rPr>
          <w:rFonts w:cs="Times New Roman"/>
          <w:color w:val="000000" w:themeColor="text1"/>
          <w:sz w:val="22"/>
          <w:szCs w:val="22"/>
        </w:rPr>
        <w:t>program/erase (P/E) cycles.  In addition, SSD lifespan can be tailored to fit your IO workload and targeted lifespan by configuring the SSDs’ over-provisioning level.</w:t>
      </w:r>
    </w:p>
    <w:p w14:paraId="61482218" w14:textId="77777777" w:rsidR="006478A2" w:rsidRPr="00EC7007" w:rsidRDefault="006478A2" w:rsidP="006478A2">
      <w:pPr>
        <w:pStyle w:val="p1"/>
        <w:jc w:val="both"/>
        <w:rPr>
          <w:rFonts w:cs="Times New Roman"/>
          <w:color w:val="000000" w:themeColor="text1"/>
          <w:sz w:val="22"/>
          <w:szCs w:val="22"/>
        </w:rPr>
      </w:pPr>
      <w:r w:rsidRPr="00EC7007">
        <w:rPr>
          <w:rFonts w:cs="Times New Roman"/>
          <w:b/>
          <w:bCs/>
          <w:color w:val="000000" w:themeColor="text1"/>
          <w:sz w:val="22"/>
          <w:szCs w:val="22"/>
          <w:u w:val="single"/>
        </w:rPr>
        <w:t>Floor Space</w:t>
      </w:r>
      <w:r w:rsidRPr="00EC7007">
        <w:rPr>
          <w:rFonts w:cs="Times New Roman"/>
          <w:color w:val="000000" w:themeColor="text1"/>
          <w:sz w:val="22"/>
          <w:szCs w:val="22"/>
        </w:rPr>
        <w:t xml:space="preserve"> - Outgrowing a data center is a very difficult and expensive problem. SSDs focus on capacity expansion and performance enhancements per rack.  At the high-end, 64 layer 3D-VNAND technology (GEN 4) from Samsung in 2.5” SSD with up to 32TB can significantly reduce floor space or allow for significant density and performance improvements</w:t>
      </w:r>
      <w:bookmarkStart w:id="0" w:name="_GoBack"/>
      <w:bookmarkEnd w:id="0"/>
      <w:r w:rsidRPr="00EC7007">
        <w:rPr>
          <w:rFonts w:cs="Times New Roman"/>
          <w:color w:val="000000" w:themeColor="text1"/>
          <w:sz w:val="22"/>
          <w:szCs w:val="22"/>
        </w:rPr>
        <w:t>.</w:t>
      </w:r>
    </w:p>
    <w:p w14:paraId="2750D254" w14:textId="77777777" w:rsidR="006478A2" w:rsidRPr="00EC7007" w:rsidRDefault="006478A2" w:rsidP="006478A2">
      <w:pPr>
        <w:pStyle w:val="p1"/>
        <w:rPr>
          <w:rFonts w:cs="Times New Roman"/>
          <w:color w:val="000000" w:themeColor="text1"/>
          <w:sz w:val="24"/>
          <w:szCs w:val="24"/>
        </w:rPr>
      </w:pPr>
      <w:r w:rsidRPr="00EC7007">
        <w:rPr>
          <w:rFonts w:cs="Times New Roman"/>
          <w:b/>
          <w:bCs/>
          <w:color w:val="000000" w:themeColor="text1"/>
          <w:sz w:val="24"/>
          <w:szCs w:val="24"/>
        </w:rPr>
        <w:t xml:space="preserve">Enterprise SSD </w:t>
      </w:r>
      <w:proofErr w:type="spellStart"/>
      <w:r w:rsidRPr="00EC7007">
        <w:rPr>
          <w:rFonts w:cs="Times New Roman"/>
          <w:b/>
          <w:bCs/>
          <w:color w:val="000000" w:themeColor="text1"/>
          <w:sz w:val="24"/>
          <w:szCs w:val="24"/>
        </w:rPr>
        <w:t>vs</w:t>
      </w:r>
      <w:proofErr w:type="spellEnd"/>
      <w:r w:rsidRPr="00EC7007">
        <w:rPr>
          <w:rFonts w:cs="Times New Roman"/>
          <w:b/>
          <w:bCs/>
          <w:color w:val="000000" w:themeColor="text1"/>
          <w:sz w:val="24"/>
          <w:szCs w:val="24"/>
        </w:rPr>
        <w:t xml:space="preserve"> Client SSDs - They are very different!</w:t>
      </w:r>
    </w:p>
    <w:p w14:paraId="62A1B1A9" w14:textId="77777777" w:rsidR="006478A2" w:rsidRPr="00EC7007" w:rsidRDefault="006478A2" w:rsidP="006478A2">
      <w:pPr>
        <w:pStyle w:val="p1"/>
        <w:jc w:val="both"/>
        <w:rPr>
          <w:rFonts w:cs="Times New Roman"/>
          <w:color w:val="000000" w:themeColor="text1"/>
          <w:sz w:val="22"/>
          <w:szCs w:val="22"/>
        </w:rPr>
      </w:pPr>
      <w:r w:rsidRPr="00EC7007">
        <w:rPr>
          <w:rFonts w:cs="Times New Roman"/>
          <w:color w:val="000000" w:themeColor="text1"/>
          <w:sz w:val="22"/>
          <w:szCs w:val="22"/>
        </w:rPr>
        <w:t>First, client SSDs are not designed or validated for enterprise use, and are not warranty supported if used in an enterprise application. Enterprise SSDs have their NAND chips validated to withstand the much greater enterprise P/E cycles demanded. Enterprise-grade data protection against power loss is only found in enterprise (not client) SSDs with built-in backup power circuitry. Enterprise SSDs also have a much higher level of over provisioning for enterprise level IOPs and lifespan requirements.</w:t>
      </w:r>
    </w:p>
    <w:p w14:paraId="702995BB" w14:textId="77777777" w:rsidR="006478A2" w:rsidRPr="00EC7007" w:rsidRDefault="006478A2" w:rsidP="006478A2">
      <w:pPr>
        <w:pStyle w:val="p1"/>
        <w:jc w:val="both"/>
        <w:rPr>
          <w:rFonts w:cs="Times New Roman"/>
          <w:color w:val="000000" w:themeColor="text1"/>
          <w:sz w:val="22"/>
          <w:szCs w:val="22"/>
        </w:rPr>
      </w:pPr>
      <w:r w:rsidRPr="00EC7007">
        <w:rPr>
          <w:rFonts w:cs="Times New Roman"/>
          <w:b/>
          <w:bCs/>
          <w:color w:val="000000" w:themeColor="text1"/>
          <w:sz w:val="22"/>
          <w:szCs w:val="22"/>
          <w:u w:val="single"/>
        </w:rPr>
        <w:t>Conclusion:</w:t>
      </w:r>
      <w:r w:rsidRPr="00EC7007">
        <w:rPr>
          <w:rFonts w:cs="Times New Roman"/>
          <w:color w:val="000000" w:themeColor="text1"/>
          <w:sz w:val="22"/>
          <w:szCs w:val="22"/>
        </w:rPr>
        <w:t xml:space="preserve"> Cost per gigabyte is a useful metric. TCO includes several other metrics such as IOPs per watt and capacity and performance per rack. TCO is a mix of several metrics</w:t>
      </w:r>
      <w:proofErr w:type="gramStart"/>
      <w:r w:rsidRPr="00EC7007">
        <w:rPr>
          <w:rFonts w:cs="Times New Roman"/>
          <w:color w:val="000000" w:themeColor="text1"/>
          <w:sz w:val="22"/>
          <w:szCs w:val="22"/>
        </w:rPr>
        <w:t>;</w:t>
      </w:r>
      <w:proofErr w:type="gramEnd"/>
      <w:r w:rsidRPr="00EC7007">
        <w:rPr>
          <w:rFonts w:cs="Times New Roman"/>
          <w:color w:val="000000" w:themeColor="text1"/>
          <w:sz w:val="22"/>
          <w:szCs w:val="22"/>
        </w:rPr>
        <w:t xml:space="preserve"> each having its own weight in your unique enterprise environment.  Samsung is clearly the leader in enterprise SSDs with over half the worlds market share. The reason is </w:t>
      </w:r>
      <w:proofErr w:type="spellStart"/>
      <w:r w:rsidRPr="00EC7007">
        <w:rPr>
          <w:rFonts w:cs="Times New Roman"/>
          <w:color w:val="000000" w:themeColor="text1"/>
          <w:sz w:val="22"/>
          <w:szCs w:val="22"/>
        </w:rPr>
        <w:t>Samsungs</w:t>
      </w:r>
      <w:proofErr w:type="spellEnd"/>
      <w:r w:rsidRPr="00EC7007">
        <w:rPr>
          <w:rFonts w:cs="Times New Roman"/>
          <w:color w:val="000000" w:themeColor="text1"/>
          <w:sz w:val="22"/>
          <w:szCs w:val="22"/>
        </w:rPr>
        <w:t xml:space="preserve"> commitment to leading the world with their 3D-VNAND Flash technology and driving enterprise SSD technology with support for SATA, SAS and </w:t>
      </w:r>
      <w:proofErr w:type="spellStart"/>
      <w:r w:rsidRPr="00EC7007">
        <w:rPr>
          <w:rFonts w:cs="Times New Roman"/>
          <w:color w:val="000000" w:themeColor="text1"/>
          <w:sz w:val="22"/>
          <w:szCs w:val="22"/>
        </w:rPr>
        <w:t>NVMe</w:t>
      </w:r>
      <w:proofErr w:type="spellEnd"/>
      <w:r w:rsidRPr="00EC7007">
        <w:rPr>
          <w:rFonts w:cs="Times New Roman"/>
          <w:color w:val="000000" w:themeColor="text1"/>
          <w:sz w:val="22"/>
          <w:szCs w:val="22"/>
        </w:rPr>
        <w:t xml:space="preserve"> (U.2 &amp; HHHL) capabilities. Samsung’s priority is with their strategic relationships with Enterprise level datacenter partners, we at Customer 1st can make you a Samsung partner!</w:t>
      </w:r>
    </w:p>
    <w:p w14:paraId="06621203" w14:textId="77777777" w:rsidR="00F57BD7" w:rsidRPr="00F57BD7" w:rsidRDefault="00F57BD7">
      <w:pPr>
        <w:rPr>
          <w:outline/>
          <w:color w:val="4F81BD" w:themeColor="accent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p>
    <w:sectPr w:rsidR="00F57BD7" w:rsidRPr="00F57BD7" w:rsidSect="00F905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D7"/>
    <w:rsid w:val="001D076D"/>
    <w:rsid w:val="006478A2"/>
    <w:rsid w:val="00BF2BD5"/>
    <w:rsid w:val="00EC7007"/>
    <w:rsid w:val="00F57BD7"/>
    <w:rsid w:val="00F84900"/>
    <w:rsid w:val="00F9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EE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478A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478A2"/>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8A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478A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478A2"/>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8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6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557</Words>
  <Characters>3179</Characters>
  <Application>Microsoft Macintosh Word</Application>
  <DocSecurity>0</DocSecurity>
  <Lines>26</Lines>
  <Paragraphs>7</Paragraphs>
  <ScaleCrop>false</ScaleCrop>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Grant</dc:creator>
  <cp:keywords/>
  <dc:description/>
  <cp:lastModifiedBy>Lauren Grant</cp:lastModifiedBy>
  <cp:revision>4</cp:revision>
  <dcterms:created xsi:type="dcterms:W3CDTF">2017-03-17T13:30:00Z</dcterms:created>
  <dcterms:modified xsi:type="dcterms:W3CDTF">2017-03-17T15:06:00Z</dcterms:modified>
</cp:coreProperties>
</file>